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58CDF174"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A64605">
        <w:rPr>
          <w:rFonts w:asciiTheme="minorHAnsi" w:eastAsia="Calibri" w:hAnsiTheme="minorHAnsi" w:cstheme="minorHAnsi"/>
          <w:b/>
          <w:bCs/>
        </w:rPr>
        <w:t>JIMAV-006-2021</w:t>
      </w:r>
    </w:p>
    <w:p w14:paraId="36FE003D" w14:textId="5D3AA741"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69AFE44C"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A64605">
        <w:rPr>
          <w:rFonts w:asciiTheme="minorHAnsi" w:eastAsia="Calibri" w:hAnsiTheme="minorHAnsi" w:cstheme="minorHAnsi"/>
        </w:rPr>
        <w:t>AUDITORIA EXTERNA PARA ESTADOS FINANCIEROS EJERCICIO FISCAL 2021</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2068199C"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3BC414FD" w:rsidR="00887183" w:rsidRPr="003818FE" w:rsidRDefault="00887183" w:rsidP="001C2E46">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03AF9" w:rsidRPr="00103AF9">
        <w:rPr>
          <w:rFonts w:asciiTheme="minorHAnsi" w:hAnsiTheme="minorHAnsi" w:cstheme="minorHAnsi"/>
        </w:rPr>
        <w:t xml:space="preserve">Manejo </w:t>
      </w:r>
      <w:r w:rsidR="00103AF9">
        <w:rPr>
          <w:rFonts w:asciiTheme="minorHAnsi" w:hAnsiTheme="minorHAnsi" w:cstheme="minorHAnsi"/>
        </w:rPr>
        <w:t>d</w:t>
      </w:r>
      <w:r w:rsidR="00103AF9" w:rsidRPr="00103AF9">
        <w:rPr>
          <w:rFonts w:asciiTheme="minorHAnsi" w:hAnsiTheme="minorHAnsi" w:cstheme="minorHAnsi"/>
        </w:rPr>
        <w:t xml:space="preserve">el </w:t>
      </w:r>
      <w:r w:rsidR="00103AF9">
        <w:rPr>
          <w:rFonts w:asciiTheme="minorHAnsi" w:hAnsiTheme="minorHAnsi" w:cstheme="minorHAnsi"/>
        </w:rPr>
        <w:t>f</w:t>
      </w:r>
      <w:r w:rsidR="00103AF9" w:rsidRPr="00103AF9">
        <w:rPr>
          <w:rFonts w:asciiTheme="minorHAnsi" w:hAnsiTheme="minorHAnsi" w:cstheme="minorHAnsi"/>
        </w:rPr>
        <w:t xml:space="preserve">uego </w:t>
      </w:r>
      <w:r w:rsidR="00103AF9">
        <w:rPr>
          <w:rFonts w:asciiTheme="minorHAnsi" w:hAnsiTheme="minorHAnsi" w:cstheme="minorHAnsi"/>
        </w:rPr>
        <w:t>a</w:t>
      </w:r>
      <w:r w:rsidR="00103AF9" w:rsidRPr="00103AF9">
        <w:rPr>
          <w:rFonts w:asciiTheme="minorHAnsi" w:hAnsiTheme="minorHAnsi" w:cstheme="minorHAnsi"/>
        </w:rPr>
        <w:t xml:space="preserve"> </w:t>
      </w:r>
      <w:proofErr w:type="spellStart"/>
      <w:r w:rsidR="00103AF9">
        <w:rPr>
          <w:rFonts w:asciiTheme="minorHAnsi" w:hAnsiTheme="minorHAnsi" w:cstheme="minorHAnsi"/>
        </w:rPr>
        <w:t>t</w:t>
      </w:r>
      <w:r w:rsidR="00103AF9" w:rsidRPr="00103AF9">
        <w:rPr>
          <w:rFonts w:asciiTheme="minorHAnsi" w:hAnsiTheme="minorHAnsi" w:cstheme="minorHAnsi"/>
        </w:rPr>
        <w:t>raves</w:t>
      </w:r>
      <w:proofErr w:type="spellEnd"/>
      <w:r w:rsidR="00103AF9" w:rsidRPr="00103AF9">
        <w:rPr>
          <w:rFonts w:asciiTheme="minorHAnsi" w:hAnsiTheme="minorHAnsi" w:cstheme="minorHAnsi"/>
        </w:rPr>
        <w:t xml:space="preserve"> </w:t>
      </w:r>
      <w:r w:rsidR="00103AF9">
        <w:rPr>
          <w:rFonts w:asciiTheme="minorHAnsi" w:hAnsiTheme="minorHAnsi" w:cstheme="minorHAnsi"/>
        </w:rPr>
        <w:t>d</w:t>
      </w:r>
      <w:r w:rsidR="00103AF9" w:rsidRPr="00103AF9">
        <w:rPr>
          <w:rFonts w:asciiTheme="minorHAnsi" w:hAnsiTheme="minorHAnsi" w:cstheme="minorHAnsi"/>
        </w:rPr>
        <w:t xml:space="preserve">e </w:t>
      </w:r>
      <w:r w:rsidR="00103AF9">
        <w:rPr>
          <w:rFonts w:asciiTheme="minorHAnsi" w:hAnsiTheme="minorHAnsi" w:cstheme="minorHAnsi"/>
        </w:rPr>
        <w:t>a</w:t>
      </w:r>
      <w:r w:rsidR="00103AF9" w:rsidRPr="00103AF9">
        <w:rPr>
          <w:rFonts w:asciiTheme="minorHAnsi" w:hAnsiTheme="minorHAnsi" w:cstheme="minorHAnsi"/>
        </w:rPr>
        <w:t>cciones</w:t>
      </w:r>
      <w:r w:rsidR="00103AF9">
        <w:rPr>
          <w:rFonts w:asciiTheme="minorHAnsi" w:hAnsiTheme="minorHAnsi" w:cstheme="minorHAnsi"/>
        </w:rPr>
        <w:t xml:space="preserve"> y</w:t>
      </w:r>
      <w:r w:rsidR="00103AF9" w:rsidRPr="00103AF9">
        <w:rPr>
          <w:rFonts w:asciiTheme="minorHAnsi" w:hAnsiTheme="minorHAnsi" w:cstheme="minorHAnsi"/>
        </w:rPr>
        <w:t xml:space="preserve"> </w:t>
      </w:r>
      <w:r w:rsidR="00103AF9">
        <w:rPr>
          <w:rFonts w:asciiTheme="minorHAnsi" w:hAnsiTheme="minorHAnsi" w:cstheme="minorHAnsi"/>
        </w:rPr>
        <w:t>e</w:t>
      </w:r>
      <w:r w:rsidR="00103AF9" w:rsidRPr="00103AF9">
        <w:rPr>
          <w:rFonts w:asciiTheme="minorHAnsi" w:hAnsiTheme="minorHAnsi" w:cstheme="minorHAnsi"/>
        </w:rPr>
        <w:t xml:space="preserve">strategias </w:t>
      </w:r>
      <w:r w:rsidR="00103AF9">
        <w:rPr>
          <w:rFonts w:asciiTheme="minorHAnsi" w:hAnsiTheme="minorHAnsi" w:cstheme="minorHAnsi"/>
        </w:rPr>
        <w:t>p</w:t>
      </w:r>
      <w:r w:rsidR="00103AF9" w:rsidRPr="00103AF9">
        <w:rPr>
          <w:rFonts w:asciiTheme="minorHAnsi" w:hAnsiTheme="minorHAnsi" w:cstheme="minorHAnsi"/>
        </w:rPr>
        <w:t xml:space="preserve">ara </w:t>
      </w:r>
      <w:r w:rsidR="00103AF9">
        <w:rPr>
          <w:rFonts w:asciiTheme="minorHAnsi" w:hAnsiTheme="minorHAnsi" w:cstheme="minorHAnsi"/>
        </w:rPr>
        <w:t>l</w:t>
      </w:r>
      <w:r w:rsidR="00103AF9" w:rsidRPr="00103AF9">
        <w:rPr>
          <w:rFonts w:asciiTheme="minorHAnsi" w:hAnsiTheme="minorHAnsi" w:cstheme="minorHAnsi"/>
        </w:rPr>
        <w:t xml:space="preserve">a </w:t>
      </w:r>
      <w:r w:rsidR="00103AF9">
        <w:rPr>
          <w:rFonts w:asciiTheme="minorHAnsi" w:hAnsiTheme="minorHAnsi" w:cstheme="minorHAnsi"/>
        </w:rPr>
        <w:t>g</w:t>
      </w:r>
      <w:r w:rsidR="00103AF9" w:rsidRPr="00103AF9">
        <w:rPr>
          <w:rFonts w:asciiTheme="minorHAnsi" w:hAnsiTheme="minorHAnsi" w:cstheme="minorHAnsi"/>
        </w:rPr>
        <w:t xml:space="preserve">estión </w:t>
      </w:r>
      <w:r w:rsidR="00103AF9">
        <w:rPr>
          <w:rFonts w:asciiTheme="minorHAnsi" w:hAnsiTheme="minorHAnsi" w:cstheme="minorHAnsi"/>
        </w:rPr>
        <w:t>a</w:t>
      </w:r>
      <w:r w:rsidR="00103AF9" w:rsidRPr="00103AF9">
        <w:rPr>
          <w:rFonts w:asciiTheme="minorHAnsi" w:hAnsiTheme="minorHAnsi" w:cstheme="minorHAnsi"/>
        </w:rPr>
        <w:t xml:space="preserve">mbiental como mecanismos de gobernanza territorial a </w:t>
      </w:r>
      <w:proofErr w:type="spellStart"/>
      <w:r w:rsidR="00103AF9" w:rsidRPr="00103AF9">
        <w:rPr>
          <w:rFonts w:asciiTheme="minorHAnsi" w:hAnsiTheme="minorHAnsi" w:cstheme="minorHAnsi"/>
        </w:rPr>
        <w:t>traves</w:t>
      </w:r>
      <w:proofErr w:type="spellEnd"/>
      <w:r w:rsidR="00103AF9" w:rsidRPr="00103AF9">
        <w:rPr>
          <w:rFonts w:asciiTheme="minorHAnsi" w:hAnsiTheme="minorHAnsi" w:cstheme="minorHAnsi"/>
        </w:rPr>
        <w:t xml:space="preserve"> de la junta intermunicipal </w:t>
      </w:r>
      <w:r w:rsidR="00103AF9">
        <w:rPr>
          <w:rFonts w:asciiTheme="minorHAnsi" w:hAnsiTheme="minorHAnsi" w:cstheme="minorHAnsi"/>
        </w:rPr>
        <w:t>JIMAV</w:t>
      </w:r>
      <w:r w:rsidR="00103AF9" w:rsidRPr="00103AF9">
        <w:rPr>
          <w:rFonts w:asciiTheme="minorHAnsi" w:hAnsiTheme="minorHAnsi" w:cstheme="minorHAnsi"/>
        </w:rPr>
        <w:t>"</w:t>
      </w:r>
      <w:r w:rsidR="00103AF9" w:rsidRPr="009E574D">
        <w:rPr>
          <w:rFonts w:asciiTheme="minorHAnsi" w:hAnsiTheme="minorHAnsi" w:cstheme="minorHAnsi"/>
        </w:rPr>
        <w:t xml:space="preserve">, </w:t>
      </w:r>
      <w:bookmarkStart w:id="0" w:name="_Hlk78889248"/>
      <w:r w:rsidR="00103AF9">
        <w:rPr>
          <w:rFonts w:asciiTheme="minorHAnsi" w:hAnsiTheme="minorHAnsi" w:cstheme="minorHAnsi"/>
        </w:rPr>
        <w:t>y “A</w:t>
      </w:r>
      <w:r w:rsidR="00103AF9" w:rsidRPr="00103AF9">
        <w:rPr>
          <w:rFonts w:asciiTheme="minorHAnsi" w:hAnsiTheme="minorHAnsi" w:cstheme="minorHAnsi"/>
        </w:rPr>
        <w:t xml:space="preserve">dministración y manejo del área natural protegida </w:t>
      </w:r>
      <w:r w:rsidR="00103AF9">
        <w:rPr>
          <w:rFonts w:asciiTheme="minorHAnsi" w:hAnsiTheme="minorHAnsi" w:cstheme="minorHAnsi"/>
        </w:rPr>
        <w:t>S</w:t>
      </w:r>
      <w:r w:rsidR="00103AF9" w:rsidRPr="00103AF9">
        <w:rPr>
          <w:rFonts w:asciiTheme="minorHAnsi" w:hAnsiTheme="minorHAnsi" w:cstheme="minorHAnsi"/>
        </w:rPr>
        <w:t xml:space="preserve">ierra del </w:t>
      </w:r>
      <w:r w:rsidR="00103AF9">
        <w:rPr>
          <w:rFonts w:asciiTheme="minorHAnsi" w:hAnsiTheme="minorHAnsi" w:cstheme="minorHAnsi"/>
        </w:rPr>
        <w:t>Á</w:t>
      </w:r>
      <w:r w:rsidR="00103AF9" w:rsidRPr="00103AF9">
        <w:rPr>
          <w:rFonts w:asciiTheme="minorHAnsi" w:hAnsiTheme="minorHAnsi" w:cstheme="minorHAnsi"/>
        </w:rPr>
        <w:t>guila</w:t>
      </w:r>
      <w:bookmarkEnd w:id="0"/>
      <w:r w:rsidR="003818FE" w:rsidRPr="003818FE">
        <w:rPr>
          <w:rFonts w:asciiTheme="minorHAnsi" w:hAnsiTheme="minorHAnsi" w:cstheme="minorHAnsi"/>
        </w:rPr>
        <w:t xml:space="preserve">, destinados a servicios públicos y la operación de programas públicos </w:t>
      </w:r>
      <w:r w:rsidRPr="003818FE">
        <w:rPr>
          <w:rFonts w:asciiTheme="minorHAnsi" w:hAnsiTheme="minorHAnsi" w:cstheme="minorHAnsi"/>
          <w:color w:val="000000"/>
        </w:rPr>
        <w:t>, del presupuesto de egresos de la JIMAV, para el ejercicio fiscal 2021.</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086EF5C0"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w:t>
            </w:r>
            <w:r w:rsidR="00A64605">
              <w:rPr>
                <w:rFonts w:asciiTheme="minorHAnsi" w:eastAsia="Calibri" w:hAnsiTheme="minorHAnsi" w:cstheme="minorHAnsi"/>
                <w:b/>
                <w:bCs/>
              </w:rPr>
              <w:t>JIMAV-006-2021</w:t>
            </w:r>
          </w:p>
        </w:tc>
      </w:tr>
      <w:tr w:rsidR="00487941"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35AC151A" w:rsidR="00487941" w:rsidRPr="009E574D" w:rsidRDefault="00487941" w:rsidP="00487941">
            <w:pPr>
              <w:spacing w:line="256" w:lineRule="exact"/>
              <w:jc w:val="both"/>
              <w:rPr>
                <w:rFonts w:asciiTheme="minorHAnsi" w:hAnsiTheme="minorHAnsi" w:cstheme="minorHAnsi"/>
              </w:rPr>
            </w:pPr>
            <w:r>
              <w:rPr>
                <w:rFonts w:asciiTheme="minorHAnsi" w:hAnsiTheme="minorHAnsi" w:cstheme="minorHAnsi"/>
              </w:rPr>
              <w:t>06</w:t>
            </w:r>
            <w:r w:rsidRPr="009E574D">
              <w:rPr>
                <w:rFonts w:asciiTheme="minorHAnsi" w:hAnsiTheme="minorHAnsi" w:cstheme="minorHAnsi"/>
              </w:rPr>
              <w:t xml:space="preserve"> de </w:t>
            </w:r>
            <w:r>
              <w:rPr>
                <w:rFonts w:asciiTheme="minorHAnsi" w:hAnsiTheme="minorHAnsi" w:cstheme="minorHAnsi"/>
              </w:rPr>
              <w:t>septiembre del</w:t>
            </w:r>
            <w:r w:rsidRPr="009E574D">
              <w:rPr>
                <w:rFonts w:asciiTheme="minorHAnsi" w:hAnsiTheme="minorHAnsi" w:cstheme="minorHAnsi"/>
              </w:rPr>
              <w:t xml:space="preserve"> 202</w:t>
            </w:r>
            <w:r>
              <w:rPr>
                <w:rFonts w:asciiTheme="minorHAnsi" w:hAnsiTheme="minorHAnsi" w:cstheme="minorHAnsi"/>
              </w:rPr>
              <w:t>1</w:t>
            </w:r>
          </w:p>
        </w:tc>
      </w:tr>
      <w:tr w:rsidR="00487941"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4689692D"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13 de septiembre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487941"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03F43A15" w:rsidR="00487941" w:rsidRPr="009E574D" w:rsidRDefault="00487941" w:rsidP="00487941">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14</w:t>
            </w:r>
            <w:r w:rsidRPr="009E574D">
              <w:rPr>
                <w:rFonts w:asciiTheme="minorHAnsi" w:hAnsiTheme="minorHAnsi" w:cstheme="minorHAnsi"/>
                <w:b/>
              </w:rPr>
              <w:t xml:space="preserve"> de </w:t>
            </w:r>
            <w:r>
              <w:rPr>
                <w:rFonts w:asciiTheme="minorHAnsi" w:hAnsiTheme="minorHAnsi" w:cstheme="minorHAnsi"/>
                <w:b/>
              </w:rPr>
              <w:t xml:space="preserve">septiembre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n la sala de juntas en las Oficinas de la JIMAV.</w:t>
            </w:r>
          </w:p>
        </w:tc>
      </w:tr>
      <w:tr w:rsidR="00487941"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774097A3"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487941"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7D7A209E"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b/>
              </w:rPr>
              <w:t xml:space="preserve">Martes </w:t>
            </w:r>
            <w:r>
              <w:rPr>
                <w:rFonts w:asciiTheme="minorHAnsi" w:hAnsiTheme="minorHAnsi" w:cstheme="minorHAnsi"/>
                <w:b/>
              </w:rPr>
              <w:t>21</w:t>
            </w:r>
            <w:r w:rsidRPr="009E574D">
              <w:rPr>
                <w:rFonts w:asciiTheme="minorHAnsi" w:hAnsiTheme="minorHAnsi" w:cstheme="minorHAnsi"/>
                <w:b/>
              </w:rPr>
              <w:t xml:space="preserve"> de </w:t>
            </w:r>
            <w:r>
              <w:rPr>
                <w:rFonts w:asciiTheme="minorHAnsi" w:hAnsiTheme="minorHAnsi" w:cstheme="minorHAnsi"/>
                <w:b/>
              </w:rPr>
              <w:t>septiembre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487941"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782EF8B0"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487941"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5E969D11"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487941"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5FBAFB2"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w:t>
      </w:r>
      <w:r w:rsidRPr="009E574D">
        <w:rPr>
          <w:rFonts w:asciiTheme="minorHAnsi" w:hAnsiTheme="minorHAnsi" w:cstheme="minorHAnsi"/>
        </w:rPr>
        <w:lastRenderedPageBreak/>
        <w:t>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1E385B41"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A64605">
        <w:rPr>
          <w:rFonts w:asciiTheme="minorHAnsi" w:eastAsia="Calibri" w:hAnsiTheme="minorHAnsi" w:cstheme="minorHAnsi"/>
          <w:b/>
          <w:bCs/>
        </w:rPr>
        <w:t>JIMAV-006-2021</w:t>
      </w:r>
    </w:p>
    <w:p w14:paraId="135466E6" w14:textId="3AFB8F5D"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272C0D96" w14:textId="77777777" w:rsidR="00D02A29" w:rsidRPr="00D86681" w:rsidRDefault="00D02A29" w:rsidP="00A64605">
      <w:pPr>
        <w:widowControl w:val="0"/>
        <w:autoSpaceDE w:val="0"/>
        <w:autoSpaceDN w:val="0"/>
        <w:adjustRightInd w:val="0"/>
        <w:spacing w:line="200" w:lineRule="exact"/>
        <w:ind w:left="284"/>
        <w:rPr>
          <w:rFonts w:asciiTheme="minorHAnsi" w:hAnsiTheme="minorHAnsi" w:cstheme="minorHAnsi"/>
          <w:sz w:val="24"/>
          <w:szCs w:val="24"/>
        </w:rPr>
      </w:pPr>
    </w:p>
    <w:p w14:paraId="731129EA" w14:textId="77777777" w:rsidR="00A64605" w:rsidRPr="00A64605" w:rsidRDefault="00A64605" w:rsidP="00A64605">
      <w:pPr>
        <w:spacing w:line="218" w:lineRule="auto"/>
        <w:ind w:left="284" w:right="48"/>
        <w:jc w:val="both"/>
        <w:rPr>
          <w:rFonts w:asciiTheme="minorHAnsi" w:hAnsiTheme="minorHAnsi" w:cstheme="minorHAnsi"/>
          <w:sz w:val="24"/>
          <w:szCs w:val="24"/>
        </w:rPr>
      </w:pPr>
      <w:r w:rsidRPr="00A64605">
        <w:rPr>
          <w:rFonts w:asciiTheme="minorHAnsi" w:hAnsiTheme="minorHAnsi" w:cstheme="minorHAnsi"/>
          <w:sz w:val="24"/>
          <w:szCs w:val="24"/>
        </w:rPr>
        <w:t>El servicio solicitado en la presente Licitación se proporcionará de acuerdo con las siguientes especificaciones y características mínimas:</w:t>
      </w:r>
    </w:p>
    <w:p w14:paraId="7481E0C8" w14:textId="77777777" w:rsidR="00A64605" w:rsidRPr="00A64605" w:rsidRDefault="00A64605" w:rsidP="00A64605">
      <w:pPr>
        <w:spacing w:line="279" w:lineRule="exact"/>
        <w:ind w:left="284" w:right="-1227"/>
        <w:rPr>
          <w:rFonts w:asciiTheme="minorHAnsi" w:hAnsiTheme="minorHAnsi" w:cstheme="minorHAnsi"/>
          <w:sz w:val="24"/>
          <w:szCs w:val="24"/>
        </w:rPr>
      </w:pPr>
    </w:p>
    <w:tbl>
      <w:tblPr>
        <w:tblW w:w="962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2780"/>
        <w:gridCol w:w="5874"/>
      </w:tblGrid>
      <w:tr w:rsidR="00A64605" w:rsidRPr="00A64605" w14:paraId="75580763" w14:textId="77777777" w:rsidTr="00A64605">
        <w:trPr>
          <w:trHeight w:val="269"/>
        </w:trPr>
        <w:tc>
          <w:tcPr>
            <w:tcW w:w="969" w:type="dxa"/>
            <w:vAlign w:val="center"/>
          </w:tcPr>
          <w:p w14:paraId="35994348" w14:textId="77777777" w:rsidR="00A64605" w:rsidRPr="00A64605" w:rsidRDefault="00A64605" w:rsidP="00A64605">
            <w:pPr>
              <w:ind w:right="-18"/>
              <w:jc w:val="center"/>
              <w:rPr>
                <w:rFonts w:asciiTheme="minorHAnsi" w:hAnsiTheme="minorHAnsi" w:cstheme="minorHAnsi"/>
                <w:b/>
                <w:bCs/>
                <w:sz w:val="24"/>
                <w:szCs w:val="24"/>
              </w:rPr>
            </w:pPr>
            <w:r w:rsidRPr="00A64605">
              <w:rPr>
                <w:rFonts w:asciiTheme="minorHAnsi" w:hAnsiTheme="minorHAnsi" w:cstheme="minorHAnsi"/>
                <w:b/>
                <w:bCs/>
                <w:sz w:val="24"/>
                <w:szCs w:val="24"/>
              </w:rPr>
              <w:t>Etapa</w:t>
            </w:r>
          </w:p>
        </w:tc>
        <w:tc>
          <w:tcPr>
            <w:tcW w:w="2780" w:type="dxa"/>
            <w:vAlign w:val="center"/>
          </w:tcPr>
          <w:p w14:paraId="53B6E6EA" w14:textId="77777777" w:rsidR="00A64605" w:rsidRPr="00A64605" w:rsidRDefault="00A64605" w:rsidP="00A64605">
            <w:pPr>
              <w:ind w:left="284"/>
              <w:jc w:val="center"/>
              <w:rPr>
                <w:rFonts w:asciiTheme="minorHAnsi" w:hAnsiTheme="minorHAnsi" w:cstheme="minorHAnsi"/>
                <w:b/>
                <w:bCs/>
                <w:sz w:val="24"/>
                <w:szCs w:val="24"/>
              </w:rPr>
            </w:pPr>
            <w:r w:rsidRPr="00A64605">
              <w:rPr>
                <w:rFonts w:asciiTheme="minorHAnsi" w:hAnsiTheme="minorHAnsi" w:cstheme="minorHAnsi"/>
                <w:b/>
                <w:bCs/>
                <w:sz w:val="24"/>
                <w:szCs w:val="24"/>
              </w:rPr>
              <w:t>Cantidad</w:t>
            </w:r>
          </w:p>
        </w:tc>
        <w:tc>
          <w:tcPr>
            <w:tcW w:w="5874" w:type="dxa"/>
            <w:vAlign w:val="center"/>
          </w:tcPr>
          <w:p w14:paraId="2AC57CF8" w14:textId="77777777" w:rsidR="00A64605" w:rsidRPr="00A64605" w:rsidRDefault="00A64605" w:rsidP="00A64605">
            <w:pPr>
              <w:ind w:left="284" w:right="-6"/>
              <w:jc w:val="center"/>
              <w:rPr>
                <w:rFonts w:asciiTheme="minorHAnsi" w:hAnsiTheme="minorHAnsi" w:cstheme="minorHAnsi"/>
                <w:b/>
                <w:bCs/>
                <w:sz w:val="24"/>
                <w:szCs w:val="24"/>
              </w:rPr>
            </w:pPr>
            <w:r w:rsidRPr="00A64605">
              <w:rPr>
                <w:rFonts w:asciiTheme="minorHAnsi" w:hAnsiTheme="minorHAnsi" w:cstheme="minorHAnsi"/>
                <w:b/>
                <w:bCs/>
                <w:sz w:val="24"/>
                <w:szCs w:val="24"/>
              </w:rPr>
              <w:t>Descripción</w:t>
            </w:r>
          </w:p>
        </w:tc>
      </w:tr>
      <w:tr w:rsidR="00A64605" w:rsidRPr="00A64605" w14:paraId="456291E7" w14:textId="77777777" w:rsidTr="00A64605">
        <w:trPr>
          <w:trHeight w:val="387"/>
        </w:trPr>
        <w:tc>
          <w:tcPr>
            <w:tcW w:w="969" w:type="dxa"/>
            <w:vAlign w:val="center"/>
          </w:tcPr>
          <w:p w14:paraId="4D20643D" w14:textId="77777777" w:rsidR="00A64605" w:rsidRPr="00A64605" w:rsidRDefault="00A64605" w:rsidP="00A64605">
            <w:pPr>
              <w:ind w:right="-10"/>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2780" w:type="dxa"/>
            <w:vAlign w:val="center"/>
          </w:tcPr>
          <w:p w14:paraId="6EB25AFD" w14:textId="77777777" w:rsidR="00A64605" w:rsidRPr="00A64605" w:rsidRDefault="00A64605" w:rsidP="00A64605">
            <w:pPr>
              <w:ind w:left="284"/>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5874" w:type="dxa"/>
            <w:vAlign w:val="center"/>
          </w:tcPr>
          <w:p w14:paraId="4B598C27" w14:textId="2CAB0EAE" w:rsidR="00A64605" w:rsidRPr="00A64605" w:rsidRDefault="00A64605" w:rsidP="007E3E39">
            <w:pPr>
              <w:ind w:left="284" w:right="-6"/>
              <w:rPr>
                <w:rFonts w:asciiTheme="minorHAnsi" w:hAnsiTheme="minorHAnsi" w:cstheme="minorHAnsi"/>
                <w:sz w:val="24"/>
                <w:szCs w:val="24"/>
              </w:rPr>
            </w:pPr>
            <w:r w:rsidRPr="00A64605">
              <w:rPr>
                <w:rFonts w:asciiTheme="minorHAnsi" w:hAnsiTheme="minorHAnsi" w:cstheme="minorHAnsi"/>
                <w:sz w:val="24"/>
                <w:szCs w:val="24"/>
              </w:rPr>
              <w:t>Servicio de Auditoría Externa para el Ejercicio 202</w:t>
            </w:r>
            <w:r>
              <w:rPr>
                <w:rFonts w:asciiTheme="minorHAnsi" w:hAnsiTheme="minorHAnsi" w:cstheme="minorHAnsi"/>
                <w:sz w:val="24"/>
                <w:szCs w:val="24"/>
              </w:rPr>
              <w:t>1</w:t>
            </w:r>
            <w:r w:rsidRPr="00A64605">
              <w:rPr>
                <w:rFonts w:asciiTheme="minorHAnsi" w:hAnsiTheme="minorHAnsi" w:cstheme="minorHAnsi"/>
                <w:sz w:val="24"/>
                <w:szCs w:val="24"/>
              </w:rPr>
              <w:t xml:space="preserve"> de la JIMAV</w:t>
            </w:r>
          </w:p>
        </w:tc>
      </w:tr>
      <w:tr w:rsidR="00A64605" w:rsidRPr="00A64605" w14:paraId="36DBAB77" w14:textId="77777777" w:rsidTr="00A64605">
        <w:trPr>
          <w:trHeight w:val="387"/>
        </w:trPr>
        <w:tc>
          <w:tcPr>
            <w:tcW w:w="969" w:type="dxa"/>
            <w:vAlign w:val="center"/>
          </w:tcPr>
          <w:p w14:paraId="71842DAC" w14:textId="77777777" w:rsidR="00A64605" w:rsidRPr="00A64605" w:rsidRDefault="00A64605" w:rsidP="00A64605">
            <w:pPr>
              <w:ind w:right="-10" w:firstLine="23"/>
              <w:jc w:val="center"/>
              <w:rPr>
                <w:rFonts w:asciiTheme="minorHAnsi" w:hAnsiTheme="minorHAnsi" w:cstheme="minorHAnsi"/>
                <w:sz w:val="24"/>
                <w:szCs w:val="24"/>
              </w:rPr>
            </w:pPr>
            <w:r w:rsidRPr="00A64605">
              <w:rPr>
                <w:rFonts w:asciiTheme="minorHAnsi" w:hAnsiTheme="minorHAnsi" w:cstheme="minorHAnsi"/>
                <w:sz w:val="24"/>
                <w:szCs w:val="24"/>
              </w:rPr>
              <w:t>2</w:t>
            </w:r>
          </w:p>
        </w:tc>
        <w:tc>
          <w:tcPr>
            <w:tcW w:w="2780" w:type="dxa"/>
            <w:vAlign w:val="center"/>
          </w:tcPr>
          <w:p w14:paraId="76D908C1" w14:textId="77777777" w:rsidR="00A64605" w:rsidRPr="00A64605" w:rsidRDefault="00A64605" w:rsidP="00A64605">
            <w:pPr>
              <w:ind w:left="284"/>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5874" w:type="dxa"/>
            <w:vAlign w:val="center"/>
          </w:tcPr>
          <w:p w14:paraId="7F31DC41" w14:textId="2373E5D9" w:rsidR="00A64605" w:rsidRPr="00A64605" w:rsidRDefault="00A64605" w:rsidP="007E3E39">
            <w:pPr>
              <w:ind w:left="284" w:right="-6"/>
              <w:rPr>
                <w:rFonts w:asciiTheme="minorHAnsi" w:hAnsiTheme="minorHAnsi" w:cstheme="minorHAnsi"/>
                <w:sz w:val="24"/>
                <w:szCs w:val="24"/>
              </w:rPr>
            </w:pPr>
            <w:r w:rsidRPr="00A64605">
              <w:rPr>
                <w:rFonts w:asciiTheme="minorHAnsi" w:hAnsiTheme="minorHAnsi" w:cstheme="minorHAnsi"/>
                <w:sz w:val="24"/>
                <w:szCs w:val="24"/>
              </w:rPr>
              <w:t xml:space="preserve">Estudio Actuarial </w:t>
            </w:r>
            <w:r>
              <w:rPr>
                <w:rFonts w:asciiTheme="minorHAnsi" w:hAnsiTheme="minorHAnsi" w:cstheme="minorHAnsi"/>
                <w:sz w:val="24"/>
                <w:szCs w:val="24"/>
              </w:rPr>
              <w:t>ac</w:t>
            </w:r>
            <w:r w:rsidRPr="00A64605">
              <w:rPr>
                <w:rFonts w:asciiTheme="minorHAnsi" w:hAnsiTheme="minorHAnsi" w:cstheme="minorHAnsi"/>
                <w:sz w:val="24"/>
                <w:szCs w:val="24"/>
              </w:rPr>
              <w:t>tualización</w:t>
            </w:r>
          </w:p>
        </w:tc>
      </w:tr>
    </w:tbl>
    <w:p w14:paraId="244DC5D4" w14:textId="77777777" w:rsidR="00A64605" w:rsidRPr="00A64605" w:rsidRDefault="00A64605" w:rsidP="00A64605">
      <w:pPr>
        <w:spacing w:line="349" w:lineRule="exact"/>
        <w:ind w:left="284" w:right="-1227"/>
        <w:rPr>
          <w:rFonts w:asciiTheme="minorHAnsi" w:hAnsiTheme="minorHAnsi" w:cstheme="minorHAnsi"/>
          <w:sz w:val="24"/>
          <w:szCs w:val="24"/>
        </w:rPr>
      </w:pPr>
    </w:p>
    <w:p w14:paraId="56AB2870" w14:textId="30457AFE" w:rsid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ASPECTOS PARA DICTAMINAR.</w:t>
      </w:r>
    </w:p>
    <w:p w14:paraId="748C2ED9" w14:textId="77777777" w:rsidR="00A64605" w:rsidRPr="00A64605" w:rsidRDefault="00A64605" w:rsidP="00A64605">
      <w:pPr>
        <w:ind w:left="284" w:right="48"/>
        <w:jc w:val="both"/>
        <w:rPr>
          <w:rFonts w:asciiTheme="minorHAnsi" w:hAnsiTheme="minorHAnsi" w:cstheme="minorHAnsi"/>
          <w:sz w:val="24"/>
          <w:szCs w:val="24"/>
        </w:rPr>
      </w:pPr>
    </w:p>
    <w:p w14:paraId="1D536B19" w14:textId="32A6CD69" w:rsidR="007E3E39" w:rsidRDefault="007E3E39" w:rsidP="00A64605">
      <w:pPr>
        <w:pStyle w:val="Prrafodelista"/>
        <w:numPr>
          <w:ilvl w:val="0"/>
          <w:numId w:val="24"/>
        </w:numPr>
        <w:ind w:left="284" w:right="48" w:hanging="567"/>
        <w:jc w:val="both"/>
        <w:rPr>
          <w:rFonts w:asciiTheme="minorHAnsi" w:hAnsiTheme="minorHAnsi" w:cstheme="minorHAnsi"/>
          <w:sz w:val="24"/>
          <w:szCs w:val="24"/>
        </w:rPr>
      </w:pPr>
      <w:r>
        <w:rPr>
          <w:rFonts w:asciiTheme="minorHAnsi" w:hAnsiTheme="minorHAnsi" w:cstheme="minorHAnsi"/>
          <w:sz w:val="24"/>
          <w:szCs w:val="24"/>
        </w:rPr>
        <w:t>Levantamiento físico de los inventarios.</w:t>
      </w:r>
    </w:p>
    <w:p w14:paraId="7F3B2308" w14:textId="5F8C1D78"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Dictamen de Estados financieros, contables y sus notas, por el período comprendido en el ejercicio fiscal del 01 de enero al 31 de diciembre del año 202</w:t>
      </w:r>
      <w:r>
        <w:rPr>
          <w:rFonts w:asciiTheme="minorHAnsi" w:hAnsiTheme="minorHAnsi" w:cstheme="minorHAnsi"/>
          <w:sz w:val="24"/>
          <w:szCs w:val="24"/>
        </w:rPr>
        <w:t>1</w:t>
      </w:r>
      <w:r w:rsidRPr="00A64605">
        <w:rPr>
          <w:rFonts w:asciiTheme="minorHAnsi" w:hAnsiTheme="minorHAnsi" w:cstheme="minorHAnsi"/>
          <w:sz w:val="24"/>
          <w:szCs w:val="24"/>
        </w:rPr>
        <w:t>.</w:t>
      </w:r>
    </w:p>
    <w:p w14:paraId="1ABBDBA6" w14:textId="43D5BF34"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Dictamen de Estados presupuestarios y programáticos, por el período comprendido en el ejercicio fiscal del 01 de enero al 31 de diciembre del año 202</w:t>
      </w:r>
      <w:r>
        <w:rPr>
          <w:rFonts w:asciiTheme="minorHAnsi" w:hAnsiTheme="minorHAnsi" w:cstheme="minorHAnsi"/>
          <w:sz w:val="24"/>
          <w:szCs w:val="24"/>
        </w:rPr>
        <w:t>1</w:t>
      </w:r>
      <w:r w:rsidRPr="00A64605">
        <w:rPr>
          <w:rFonts w:asciiTheme="minorHAnsi" w:hAnsiTheme="minorHAnsi" w:cstheme="minorHAnsi"/>
          <w:sz w:val="24"/>
          <w:szCs w:val="24"/>
        </w:rPr>
        <w:t>.</w:t>
      </w:r>
    </w:p>
    <w:p w14:paraId="33E63EF4"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presupuestal, conciliación entre los ingresos presupuestales y conciliación entre los egresos presupuestales.</w:t>
      </w:r>
    </w:p>
    <w:p w14:paraId="2309F3B4"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del cumplimiento de la legislación fiscal federal aplicable al organismo (Impuesto sobre la Renta, Impuesto al Valor Agregado, Código Fiscal de la Federación, Las Leyes de Seguridad Social y las que resulten aplicables en forma adicional) mismos que tiene que ver con el artículo 52 del Código Fiscal de la Federación., así como Ley General de Contabilidad Gubernamental.</w:t>
      </w:r>
    </w:p>
    <w:p w14:paraId="4FD70ACB" w14:textId="151B33FF"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del control interno del organismo y cumplimiento del Programa Operativo Anual 202</w:t>
      </w:r>
      <w:r>
        <w:rPr>
          <w:rFonts w:asciiTheme="minorHAnsi" w:hAnsiTheme="minorHAnsi" w:cstheme="minorHAnsi"/>
          <w:sz w:val="24"/>
          <w:szCs w:val="24"/>
        </w:rPr>
        <w:t>1</w:t>
      </w:r>
      <w:r w:rsidRPr="00A64605">
        <w:rPr>
          <w:rFonts w:asciiTheme="minorHAnsi" w:hAnsiTheme="minorHAnsi" w:cstheme="minorHAnsi"/>
          <w:sz w:val="24"/>
          <w:szCs w:val="24"/>
        </w:rPr>
        <w:t>. Si dentro de la revisión a los estados financieros básicos se detectaran irregularidades importantes al control interno, o dentro de los registros contables hubiera que hacer correcciones, se deberán de hacer del conocimiento del organismo por escrito, juntamente con las sugerencias y recomendaciones para solventarlas.</w:t>
      </w:r>
    </w:p>
    <w:p w14:paraId="07C5F5C0"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Estudio actuarial sobre pensiones que cumplan con los requisitos de la CONAC</w:t>
      </w:r>
    </w:p>
    <w:p w14:paraId="50717EB9"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Informe y carta de observaciones y recomendaciones.</w:t>
      </w:r>
    </w:p>
    <w:p w14:paraId="2D174CFC" w14:textId="77777777" w:rsidR="00A64605" w:rsidRPr="00A64605" w:rsidRDefault="00A64605" w:rsidP="00A64605">
      <w:pPr>
        <w:ind w:left="284" w:right="48"/>
        <w:jc w:val="both"/>
        <w:rPr>
          <w:rFonts w:asciiTheme="minorHAnsi" w:hAnsiTheme="minorHAnsi" w:cstheme="minorHAnsi"/>
          <w:sz w:val="24"/>
          <w:szCs w:val="24"/>
        </w:rPr>
      </w:pPr>
    </w:p>
    <w:p w14:paraId="71F127DA" w14:textId="77777777" w:rsidR="00A64605" w:rsidRP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Señalar la metodología a implementar en la revisión de cada uno de los puntos.</w:t>
      </w:r>
    </w:p>
    <w:p w14:paraId="4B92BAE6" w14:textId="77777777" w:rsidR="00A64605" w:rsidRPr="00A64605" w:rsidRDefault="00A64605" w:rsidP="00A64605">
      <w:pPr>
        <w:spacing w:line="269" w:lineRule="exact"/>
        <w:ind w:left="284" w:right="48"/>
        <w:jc w:val="both"/>
        <w:rPr>
          <w:rFonts w:asciiTheme="minorHAnsi" w:hAnsiTheme="minorHAnsi" w:cstheme="minorHAnsi"/>
          <w:sz w:val="24"/>
          <w:szCs w:val="24"/>
        </w:rPr>
      </w:pPr>
    </w:p>
    <w:p w14:paraId="5718E830" w14:textId="4FA66B6B" w:rsid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PRODUCTOS ESPERADOS.</w:t>
      </w:r>
    </w:p>
    <w:p w14:paraId="3E73C109" w14:textId="77777777" w:rsidR="00A64605" w:rsidRPr="00A64605" w:rsidRDefault="00A64605" w:rsidP="00A64605">
      <w:pPr>
        <w:ind w:left="284" w:right="48"/>
        <w:jc w:val="both"/>
        <w:rPr>
          <w:rFonts w:asciiTheme="minorHAnsi" w:hAnsiTheme="minorHAnsi" w:cstheme="minorHAnsi"/>
          <w:sz w:val="24"/>
          <w:szCs w:val="24"/>
        </w:rPr>
      </w:pPr>
    </w:p>
    <w:p w14:paraId="71906315" w14:textId="090B49C3" w:rsidR="00A64605" w:rsidRPr="00A64605" w:rsidRDefault="00A64605" w:rsidP="00A64605">
      <w:pPr>
        <w:pStyle w:val="Prrafodelista"/>
        <w:numPr>
          <w:ilvl w:val="0"/>
          <w:numId w:val="25"/>
        </w:numPr>
        <w:ind w:left="284" w:right="48"/>
        <w:jc w:val="both"/>
        <w:rPr>
          <w:rFonts w:asciiTheme="minorHAnsi" w:hAnsiTheme="minorHAnsi" w:cstheme="minorHAnsi"/>
          <w:sz w:val="24"/>
          <w:szCs w:val="24"/>
        </w:rPr>
      </w:pPr>
      <w:r w:rsidRPr="00A64605">
        <w:rPr>
          <w:rFonts w:asciiTheme="minorHAnsi" w:hAnsiTheme="minorHAnsi" w:cstheme="minorHAnsi"/>
          <w:sz w:val="24"/>
          <w:szCs w:val="24"/>
        </w:rPr>
        <w:t>Dictamen de los Estados financieros contables, presupuestarios, programáticos por el periodo comprendido del 01 enero al 31 de diciembre 202</w:t>
      </w:r>
      <w:r>
        <w:rPr>
          <w:rFonts w:asciiTheme="minorHAnsi" w:hAnsiTheme="minorHAnsi" w:cstheme="minorHAnsi"/>
          <w:sz w:val="24"/>
          <w:szCs w:val="24"/>
        </w:rPr>
        <w:t>1</w:t>
      </w:r>
      <w:r w:rsidRPr="00A64605">
        <w:rPr>
          <w:rFonts w:asciiTheme="minorHAnsi" w:hAnsiTheme="minorHAnsi" w:cstheme="minorHAnsi"/>
          <w:sz w:val="24"/>
          <w:szCs w:val="24"/>
        </w:rPr>
        <w:t>.</w:t>
      </w:r>
    </w:p>
    <w:p w14:paraId="4B36212D" w14:textId="77777777" w:rsidR="00A64605" w:rsidRPr="00A64605" w:rsidRDefault="00A64605" w:rsidP="00A64605">
      <w:pPr>
        <w:pStyle w:val="Prrafodelista"/>
        <w:numPr>
          <w:ilvl w:val="0"/>
          <w:numId w:val="25"/>
        </w:numPr>
        <w:ind w:left="284" w:right="48"/>
        <w:jc w:val="both"/>
        <w:rPr>
          <w:rFonts w:asciiTheme="minorHAnsi" w:hAnsiTheme="minorHAnsi" w:cstheme="minorHAnsi"/>
          <w:sz w:val="24"/>
          <w:szCs w:val="24"/>
        </w:rPr>
      </w:pPr>
      <w:r w:rsidRPr="00A64605">
        <w:rPr>
          <w:rFonts w:asciiTheme="minorHAnsi" w:hAnsiTheme="minorHAnsi" w:cstheme="minorHAnsi"/>
          <w:sz w:val="24"/>
          <w:szCs w:val="24"/>
        </w:rPr>
        <w:t>Memorándum de observaciones y recomendaciones sobre el sistema de control interno y contabilidad.</w:t>
      </w:r>
    </w:p>
    <w:p w14:paraId="76A3A19F" w14:textId="77777777" w:rsidR="00A64605" w:rsidRPr="00A64605" w:rsidRDefault="00A64605" w:rsidP="00A64605">
      <w:pPr>
        <w:spacing w:line="319" w:lineRule="exact"/>
        <w:ind w:left="284" w:right="48"/>
        <w:jc w:val="both"/>
        <w:rPr>
          <w:rFonts w:asciiTheme="minorHAnsi" w:hAnsiTheme="minorHAnsi" w:cstheme="minorHAnsi"/>
          <w:sz w:val="24"/>
          <w:szCs w:val="24"/>
        </w:rPr>
      </w:pPr>
    </w:p>
    <w:p w14:paraId="7E7C4EA3" w14:textId="15DE1BF7" w:rsidR="00A64605" w:rsidRPr="00A64605" w:rsidRDefault="00A64605" w:rsidP="00A64605">
      <w:pPr>
        <w:spacing w:line="218" w:lineRule="auto"/>
        <w:ind w:left="284" w:right="48"/>
        <w:jc w:val="both"/>
        <w:rPr>
          <w:rFonts w:asciiTheme="minorHAnsi" w:hAnsiTheme="minorHAnsi" w:cstheme="minorHAnsi"/>
          <w:sz w:val="24"/>
          <w:szCs w:val="24"/>
        </w:rPr>
      </w:pPr>
      <w:r w:rsidRPr="00A64605">
        <w:rPr>
          <w:rFonts w:asciiTheme="minorHAnsi" w:hAnsiTheme="minorHAnsi" w:cstheme="minorHAnsi"/>
          <w:sz w:val="24"/>
          <w:szCs w:val="24"/>
        </w:rPr>
        <w:lastRenderedPageBreak/>
        <w:t>Entrega de los productos señalados antes firmados e impresos (en dos tantos) y en archivo digital en formato PDF, a más tardar el día 31 de Mayo del año 202</w:t>
      </w:r>
      <w:r>
        <w:rPr>
          <w:rFonts w:asciiTheme="minorHAnsi" w:hAnsiTheme="minorHAnsi" w:cstheme="minorHAnsi"/>
          <w:sz w:val="24"/>
          <w:szCs w:val="24"/>
        </w:rPr>
        <w:t>1</w:t>
      </w:r>
      <w:r w:rsidRPr="00A64605">
        <w:rPr>
          <w:rFonts w:asciiTheme="minorHAnsi" w:hAnsiTheme="minorHAnsi" w:cstheme="minorHAnsi"/>
          <w:sz w:val="24"/>
          <w:szCs w:val="24"/>
        </w:rPr>
        <w:t>.</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04E39858" w:rsidR="00D02A29"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A5811A1" w14:textId="77777777" w:rsidR="00A64605" w:rsidRPr="00D86681" w:rsidRDefault="00A64605" w:rsidP="00D02A29">
      <w:pPr>
        <w:jc w:val="center"/>
        <w:rPr>
          <w:rFonts w:asciiTheme="minorHAnsi" w:hAnsiTheme="minorHAnsi" w:cstheme="minorHAnsi"/>
          <w:sz w:val="24"/>
          <w:szCs w:val="24"/>
        </w:rPr>
      </w:pP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0548978B"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A64605">
        <w:rPr>
          <w:rFonts w:asciiTheme="minorHAnsi" w:eastAsia="Calibri" w:hAnsiTheme="minorHAnsi" w:cstheme="minorHAnsi"/>
          <w:b/>
          <w:bCs/>
        </w:rPr>
        <w:t>JIMAV-006-2021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571D398B"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A64605">
        <w:rPr>
          <w:rFonts w:asciiTheme="minorHAnsi" w:eastAsia="Calibri" w:hAnsiTheme="minorHAnsi" w:cstheme="minorHAnsi"/>
        </w:rPr>
        <w:t>JIMAV-006-2021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7544F684"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4A07927D" w14:textId="27B37D5A"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4A5CEE1A"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5943ABBA"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512E245F" w14:textId="7E92B369"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26B7EF0F"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21E6FD2C" w14:textId="741B86D6"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2AE0A157"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358B4C70" w14:textId="1E6A323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687069BE"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749C377B"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2163" w14:textId="77777777" w:rsidR="002E61AF" w:rsidRDefault="002E61AF" w:rsidP="00ED6790">
      <w:r>
        <w:separator/>
      </w:r>
    </w:p>
  </w:endnote>
  <w:endnote w:type="continuationSeparator" w:id="0">
    <w:p w14:paraId="680914A7" w14:textId="77777777" w:rsidR="002E61AF" w:rsidRDefault="002E61AF"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19711720" w:rsidR="004E3EB2" w:rsidRDefault="004E3EB2" w:rsidP="003135BD">
        <w:pPr>
          <w:pStyle w:val="Piedepgina"/>
          <w:ind w:left="284" w:right="190"/>
          <w:jc w:val="center"/>
        </w:pPr>
        <w:r w:rsidRPr="00503D34">
          <w:t>Convocatoria JIMAV 00</w:t>
        </w:r>
        <w:r w:rsidR="007740F9">
          <w:t>6</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AD26" w14:textId="77777777" w:rsidR="002E61AF" w:rsidRDefault="002E61AF" w:rsidP="00ED6790">
      <w:r>
        <w:separator/>
      </w:r>
    </w:p>
  </w:footnote>
  <w:footnote w:type="continuationSeparator" w:id="0">
    <w:p w14:paraId="7E0FDB79" w14:textId="77777777" w:rsidR="002E61AF" w:rsidRDefault="002E61AF"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3"/>
  </w:num>
  <w:num w:numId="4">
    <w:abstractNumId w:val="9"/>
  </w:num>
  <w:num w:numId="5">
    <w:abstractNumId w:val="1"/>
  </w:num>
  <w:num w:numId="6">
    <w:abstractNumId w:val="10"/>
  </w:num>
  <w:num w:numId="7">
    <w:abstractNumId w:val="16"/>
  </w:num>
  <w:num w:numId="8">
    <w:abstractNumId w:val="23"/>
  </w:num>
  <w:num w:numId="9">
    <w:abstractNumId w:val="19"/>
  </w:num>
  <w:num w:numId="10">
    <w:abstractNumId w:val="15"/>
  </w:num>
  <w:num w:numId="11">
    <w:abstractNumId w:val="6"/>
  </w:num>
  <w:num w:numId="12">
    <w:abstractNumId w:val="24"/>
  </w:num>
  <w:num w:numId="13">
    <w:abstractNumId w:val="11"/>
  </w:num>
  <w:num w:numId="14">
    <w:abstractNumId w:val="2"/>
  </w:num>
  <w:num w:numId="15">
    <w:abstractNumId w:val="21"/>
  </w:num>
  <w:num w:numId="16">
    <w:abstractNumId w:val="17"/>
  </w:num>
  <w:num w:numId="17">
    <w:abstractNumId w:val="14"/>
  </w:num>
  <w:num w:numId="18">
    <w:abstractNumId w:val="2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7"/>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0C7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74074"/>
    <w:rsid w:val="002761A4"/>
    <w:rsid w:val="002A54CB"/>
    <w:rsid w:val="002A6021"/>
    <w:rsid w:val="002B16DE"/>
    <w:rsid w:val="002B5FDF"/>
    <w:rsid w:val="002C4D6F"/>
    <w:rsid w:val="002D3252"/>
    <w:rsid w:val="002D3689"/>
    <w:rsid w:val="002D7F53"/>
    <w:rsid w:val="002E418E"/>
    <w:rsid w:val="002E61AF"/>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8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0F9"/>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E3E3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375D6"/>
    <w:rsid w:val="00A42A6E"/>
    <w:rsid w:val="00A43F0C"/>
    <w:rsid w:val="00A44B78"/>
    <w:rsid w:val="00A56622"/>
    <w:rsid w:val="00A64605"/>
    <w:rsid w:val="00A73FC2"/>
    <w:rsid w:val="00A85E70"/>
    <w:rsid w:val="00A92D32"/>
    <w:rsid w:val="00A9745B"/>
    <w:rsid w:val="00AA50FF"/>
    <w:rsid w:val="00AA66F9"/>
    <w:rsid w:val="00AA73F8"/>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7005</Words>
  <Characters>38528</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7</cp:revision>
  <dcterms:created xsi:type="dcterms:W3CDTF">2021-08-03T18:02:00Z</dcterms:created>
  <dcterms:modified xsi:type="dcterms:W3CDTF">2021-09-07T03:19:00Z</dcterms:modified>
</cp:coreProperties>
</file>