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EB41B4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E928D8">
        <w:rPr>
          <w:rFonts w:ascii="Arial" w:hAnsi="Arial" w:cs="Arial"/>
          <w:sz w:val="24"/>
        </w:rPr>
        <w:t xml:space="preserve"> XIV. </w:t>
      </w:r>
      <w:r w:rsidR="00E928D8" w:rsidRPr="00E928D8">
        <w:rPr>
          <w:rFonts w:ascii="Arial" w:hAnsi="Arial" w:cs="Arial"/>
          <w:sz w:val="24"/>
        </w:rPr>
        <w:t>La demás información pública a que obliguen las disposiciones federales y la Ley General de Contabilidad Gubernamental, así como aquella que se genere por la ejecución del gasto público con recursos federales</w:t>
      </w:r>
      <w:r w:rsidR="00E928D8">
        <w:rPr>
          <w:rFonts w:ascii="Arial" w:hAnsi="Arial" w:cs="Arial"/>
          <w:sz w:val="24"/>
        </w:rPr>
        <w:t>.</w:t>
      </w:r>
    </w:p>
    <w:p w:rsidR="00E928D8" w:rsidRDefault="00E928D8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Default="00E928D8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ley de Transparencia y Acceso a la información Pública del Estado de Jalisco y sus Municipios establece que, ‘’</w:t>
      </w:r>
      <w:r w:rsidRPr="00E928D8">
        <w:rPr>
          <w:rFonts w:ascii="Arial" w:hAnsi="Arial" w:cs="Arial"/>
          <w:sz w:val="24"/>
        </w:rPr>
        <w:t>La publicación de información fundamental debe realizarse con independencia de su publicación oficial y debe reunir los requisitos de claridad, calidad, certeza, veracidad, oportunidad y confiabilidad</w:t>
      </w:r>
      <w:r>
        <w:rPr>
          <w:rFonts w:ascii="Arial" w:hAnsi="Arial" w:cs="Arial"/>
          <w:sz w:val="24"/>
        </w:rPr>
        <w:t>’’</w:t>
      </w:r>
      <w:r w:rsidRPr="00E928D8">
        <w:rPr>
          <w:rFonts w:ascii="Arial" w:hAnsi="Arial" w:cs="Arial"/>
          <w:sz w:val="24"/>
        </w:rPr>
        <w:t>.</w:t>
      </w:r>
    </w:p>
    <w:p w:rsidR="00E928D8" w:rsidRPr="00B32A85" w:rsidRDefault="00E928D8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Atendiendo a la ley, la información señalada en la fracción XIV del artículo 8 de la ley anteriormente señalada, se publicará una vez que se tenga cumpliendo con la forma establecida por dicha ley.</w:t>
      </w:r>
      <w:bookmarkStart w:id="0" w:name="_GoBack"/>
      <w:bookmarkEnd w:id="0"/>
    </w:p>
    <w:sectPr w:rsidR="00E928D8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064A1"/>
    <w:rsid w:val="001421E6"/>
    <w:rsid w:val="00150C65"/>
    <w:rsid w:val="00176CBE"/>
    <w:rsid w:val="00217A02"/>
    <w:rsid w:val="002731A6"/>
    <w:rsid w:val="003E76ED"/>
    <w:rsid w:val="00423BB2"/>
    <w:rsid w:val="0044190A"/>
    <w:rsid w:val="0047636F"/>
    <w:rsid w:val="004C4D6F"/>
    <w:rsid w:val="004D7CF0"/>
    <w:rsid w:val="005037D6"/>
    <w:rsid w:val="00513955"/>
    <w:rsid w:val="007739DA"/>
    <w:rsid w:val="00985B2C"/>
    <w:rsid w:val="009B065C"/>
    <w:rsid w:val="009C1AA5"/>
    <w:rsid w:val="009E7C2C"/>
    <w:rsid w:val="00B13CA9"/>
    <w:rsid w:val="00B32A85"/>
    <w:rsid w:val="00B5457F"/>
    <w:rsid w:val="00C21B8F"/>
    <w:rsid w:val="00DE2FBE"/>
    <w:rsid w:val="00E928D8"/>
    <w:rsid w:val="00E95B0A"/>
    <w:rsid w:val="00EB41B4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A8A4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2023-10-26T20:09:00Z</dcterms:created>
  <dcterms:modified xsi:type="dcterms:W3CDTF">2023-10-27T18:51:00Z</dcterms:modified>
</cp:coreProperties>
</file>